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30399" w:rsidRPr="007321C2" w:rsidRDefault="001048DA" w:rsidP="001048DA">
      <w:pPr>
        <w:spacing w:line="400" w:lineRule="exact"/>
        <w:ind w:left="1701"/>
        <w:jc w:val="center"/>
        <w:rPr>
          <w:rFonts w:eastAsia="ＭＳ ゴシック"/>
          <w:b/>
          <w:sz w:val="28"/>
          <w:szCs w:val="28"/>
        </w:rPr>
      </w:pPr>
      <w:r w:rsidRPr="007321C2">
        <w:rPr>
          <w:rFonts w:eastAsia="ＭＳ ゴシック"/>
          <w:b/>
          <w:sz w:val="28"/>
          <w:szCs w:val="28"/>
        </w:rPr>
        <w:t>Title in Bold 14 pt Times-Roman With Only Initials in Capitals</w:t>
      </w:r>
      <w:r w:rsidR="001D755F">
        <w:rPr>
          <w:rFonts w:eastAsia="ＭＳ ゴシック"/>
          <w:b/>
          <w:noProof/>
          <w:sz w:val="28"/>
          <w:szCs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5" o:spid="_x0000_s1026" type="#_x0000_t202" style="position:absolute;left:0;text-align:left;margin-left:.4pt;margin-top:.5pt;width:85.0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" filled="f">
            <v:stroke dashstyle="dash"/>
            <v:textbox inset="5.85pt,.7pt,5.85pt,.7pt">
              <w:txbxContent>
                <w:p w:rsidR="00030399" w:rsidRPr="004022BF" w:rsidRDefault="00DB126E" w:rsidP="00613345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 xml:space="preserve">BLANK </w:t>
                  </w:r>
                  <w:r w:rsidR="001048DA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SPACE</w:t>
                  </w:r>
                </w:p>
              </w:txbxContent>
            </v:textbox>
          </v:shape>
        </w:pict>
      </w:r>
    </w:p>
    <w:p w:rsidR="00030399" w:rsidRPr="007321C2" w:rsidRDefault="001048DA" w:rsidP="004063D0">
      <w:pPr>
        <w:spacing w:line="400" w:lineRule="exact"/>
        <w:ind w:left="1701"/>
        <w:jc w:val="center"/>
        <w:rPr>
          <w:color w:val="000000"/>
          <w:sz w:val="22"/>
          <w:szCs w:val="22"/>
        </w:rPr>
      </w:pPr>
      <w:r w:rsidRPr="007321C2">
        <w:rPr>
          <w:color w:val="000000"/>
          <w:sz w:val="22"/>
          <w:szCs w:val="22"/>
        </w:rPr>
        <w:t>Leave one line</w:t>
      </w:r>
    </w:p>
    <w:p w:rsidR="00761461" w:rsidRPr="00D17839" w:rsidRDefault="00D17839" w:rsidP="00D17839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</w:t>
      </w:r>
      <w:bookmarkStart w:id="0" w:name="_GoBack"/>
      <w:bookmarkEnd w:id="0"/>
      <w:r>
        <w:rPr>
          <w:color w:val="000000"/>
          <w:sz w:val="22"/>
        </w:rPr>
        <w:t xml:space="preserve">Names of Author in </w:t>
      </w:r>
      <w:r>
        <w:rPr>
          <w:rFonts w:hint="eastAsia"/>
          <w:color w:val="000000"/>
          <w:sz w:val="22"/>
        </w:rPr>
        <w:t xml:space="preserve">Plain </w:t>
      </w:r>
      <w:r>
        <w:rPr>
          <w:color w:val="000000"/>
          <w:sz w:val="22"/>
        </w:rPr>
        <w:t>11 pt</w:t>
      </w:r>
      <w:r w:rsidR="00AA1E90">
        <w:rPr>
          <w:color w:val="000000"/>
          <w:sz w:val="22"/>
        </w:rPr>
        <w:t xml:space="preserve">, </w:t>
      </w:r>
      <w:r w:rsidR="00AA1E90" w:rsidRPr="00AA1E90">
        <w:rPr>
          <w:color w:val="000000"/>
          <w:sz w:val="22"/>
          <w:u w:val="single"/>
        </w:rPr>
        <w:t>Underline Presenting Author</w:t>
      </w:r>
    </w:p>
    <w:p w:rsidR="001048DA" w:rsidRPr="007321C2" w:rsidRDefault="001048DA" w:rsidP="007321C2">
      <w:pPr>
        <w:ind w:firstLineChars="750" w:firstLine="1650"/>
        <w:jc w:val="center"/>
        <w:rPr>
          <w:color w:val="000000"/>
          <w:sz w:val="22"/>
          <w:szCs w:val="22"/>
        </w:rPr>
      </w:pPr>
      <w:r w:rsidRPr="007321C2">
        <w:rPr>
          <w:color w:val="000000"/>
          <w:sz w:val="22"/>
          <w:szCs w:val="22"/>
        </w:rPr>
        <w:t>Leave one line</w:t>
      </w:r>
    </w:p>
    <w:p w:rsidR="001048DA" w:rsidRPr="007321C2" w:rsidRDefault="001048DA" w:rsidP="004063D0">
      <w:pPr>
        <w:ind w:leftChars="750" w:left="1800"/>
        <w:jc w:val="center"/>
        <w:rPr>
          <w:color w:val="000000"/>
          <w:sz w:val="22"/>
          <w:szCs w:val="22"/>
        </w:rPr>
      </w:pPr>
      <w:r w:rsidRPr="007321C2">
        <w:rPr>
          <w:color w:val="000000"/>
          <w:sz w:val="22"/>
          <w:szCs w:val="22"/>
        </w:rPr>
        <w:t>Postal Address (</w:t>
      </w:r>
      <w:proofErr w:type="gramStart"/>
      <w:r w:rsidRPr="007321C2">
        <w:rPr>
          <w:color w:val="000000"/>
          <w:sz w:val="22"/>
          <w:szCs w:val="22"/>
        </w:rPr>
        <w:t>Affiliation :</w:t>
      </w:r>
      <w:proofErr w:type="gramEnd"/>
      <w:r w:rsidRPr="007321C2">
        <w:rPr>
          <w:color w:val="000000"/>
          <w:sz w:val="22"/>
          <w:szCs w:val="22"/>
        </w:rPr>
        <w:t xml:space="preserve"> Company, University, Institute, etc) in Plain 11pt</w:t>
      </w:r>
    </w:p>
    <w:p w:rsidR="001048DA" w:rsidRPr="007321C2" w:rsidRDefault="001048DA" w:rsidP="00AA1E90">
      <w:pPr>
        <w:ind w:firstLineChars="750" w:firstLine="1650"/>
        <w:jc w:val="center"/>
        <w:outlineLvl w:val="0"/>
        <w:rPr>
          <w:color w:val="000000"/>
          <w:sz w:val="22"/>
          <w:szCs w:val="22"/>
        </w:rPr>
      </w:pPr>
      <w:r w:rsidRPr="007321C2">
        <w:rPr>
          <w:color w:val="000000"/>
          <w:sz w:val="22"/>
          <w:szCs w:val="22"/>
        </w:rPr>
        <w:t>Author’s E-mail Address in Plain 11pt</w:t>
      </w:r>
    </w:p>
    <w:p w:rsidR="001048DA" w:rsidRPr="007321C2" w:rsidRDefault="001048DA" w:rsidP="00AA1E90">
      <w:pPr>
        <w:ind w:firstLineChars="750" w:firstLine="1650"/>
        <w:jc w:val="center"/>
        <w:outlineLvl w:val="0"/>
        <w:rPr>
          <w:color w:val="000000"/>
          <w:sz w:val="22"/>
          <w:szCs w:val="22"/>
        </w:rPr>
      </w:pPr>
      <w:r w:rsidRPr="007321C2">
        <w:rPr>
          <w:color w:val="000000"/>
          <w:sz w:val="22"/>
          <w:szCs w:val="22"/>
        </w:rPr>
        <w:t>Leave one line</w:t>
      </w:r>
    </w:p>
    <w:p w:rsidR="001048DA" w:rsidRDefault="001048DA" w:rsidP="00AA1E90">
      <w:pPr>
        <w:outlineLvl w:val="0"/>
        <w:rPr>
          <w:color w:val="000000"/>
        </w:rPr>
      </w:pPr>
      <w:r w:rsidRPr="007321C2">
        <w:rPr>
          <w:color w:val="000000"/>
        </w:rPr>
        <w:t>Start text here.</w:t>
      </w:r>
    </w:p>
    <w:p w:rsidR="00613345" w:rsidRPr="007321C2" w:rsidRDefault="00613345" w:rsidP="001048DA">
      <w:pPr>
        <w:rPr>
          <w:color w:val="000000"/>
        </w:rPr>
      </w:pPr>
    </w:p>
    <w:p w:rsidR="00DB126E" w:rsidRDefault="00613345" w:rsidP="00613345">
      <w:pPr>
        <w:rPr>
          <w:color w:val="000000"/>
        </w:rPr>
      </w:pPr>
      <w:r w:rsidRPr="00613345">
        <w:rPr>
          <w:color w:val="000000"/>
        </w:rPr>
        <w:t>In preparing abstracts, please use this template without changing the format and refer to the sample (</w:t>
      </w:r>
      <w:proofErr w:type="spellStart"/>
      <w:r w:rsidRPr="00613345">
        <w:rPr>
          <w:color w:val="000000"/>
        </w:rPr>
        <w:t>pdf</w:t>
      </w:r>
      <w:proofErr w:type="spellEnd"/>
      <w:r w:rsidRPr="00613345">
        <w:rPr>
          <w:color w:val="000000"/>
        </w:rPr>
        <w:t>). The abstract will be printed in BLACK and WHITE in the abstract book using the uploaded camera-ready copy (</w:t>
      </w:r>
      <w:proofErr w:type="spellStart"/>
      <w:r w:rsidRPr="00613345">
        <w:rPr>
          <w:color w:val="000000"/>
        </w:rPr>
        <w:t>pdf</w:t>
      </w:r>
      <w:proofErr w:type="spellEnd"/>
      <w:r w:rsidRPr="00613345">
        <w:rPr>
          <w:color w:val="000000"/>
        </w:rPr>
        <w:t xml:space="preserve">). </w:t>
      </w:r>
    </w:p>
    <w:p w:rsidR="00613345" w:rsidRDefault="00613345" w:rsidP="00613345">
      <w:pPr>
        <w:rPr>
          <w:color w:val="FF0000"/>
        </w:rPr>
      </w:pPr>
      <w:r w:rsidRPr="00613345">
        <w:rPr>
          <w:color w:val="FF0000"/>
        </w:rPr>
        <w:t>The abstract submission will be possible from reaching the notification of lecture number from the secretariat</w:t>
      </w:r>
      <w:r w:rsidRPr="00613345">
        <w:rPr>
          <w:rFonts w:hint="eastAsia"/>
          <w:color w:val="FF0000"/>
        </w:rPr>
        <w:t xml:space="preserve">. </w:t>
      </w:r>
      <w:r w:rsidRPr="00613345">
        <w:rPr>
          <w:color w:val="FF0000"/>
        </w:rPr>
        <w:t xml:space="preserve">For further updates to your abstract please login to the Abstract submission until deadline July </w:t>
      </w:r>
      <w:proofErr w:type="spellStart"/>
      <w:r w:rsidRPr="00613345">
        <w:rPr>
          <w:color w:val="FF0000"/>
        </w:rPr>
        <w:t>31th</w:t>
      </w:r>
      <w:proofErr w:type="spellEnd"/>
      <w:r w:rsidRPr="00613345">
        <w:rPr>
          <w:color w:val="FF0000"/>
        </w:rPr>
        <w:t xml:space="preserve"> 2015.</w:t>
      </w:r>
      <w:r>
        <w:rPr>
          <w:rFonts w:hint="eastAsia"/>
          <w:color w:val="FF0000"/>
        </w:rPr>
        <w:t xml:space="preserve"> </w:t>
      </w:r>
    </w:p>
    <w:p w:rsidR="00613345" w:rsidRDefault="00613345" w:rsidP="00613345">
      <w:pPr>
        <w:rPr>
          <w:color w:val="000000"/>
        </w:rPr>
      </w:pPr>
      <w:r w:rsidRPr="00613345">
        <w:rPr>
          <w:color w:val="000000"/>
        </w:rPr>
        <w:t xml:space="preserve">Abstracts can only be submitted via the </w:t>
      </w:r>
      <w:r>
        <w:rPr>
          <w:rFonts w:hint="eastAsia"/>
          <w:color w:val="000000"/>
        </w:rPr>
        <w:t>TEAC</w:t>
      </w:r>
      <w:r w:rsidRPr="00613345">
        <w:rPr>
          <w:color w:val="000000"/>
        </w:rPr>
        <w:t xml:space="preserve">2015 website (http://www.teac-office.jp/teac2015/teac2015-english.html). </w:t>
      </w:r>
      <w:r>
        <w:rPr>
          <w:rFonts w:hint="eastAsia"/>
          <w:color w:val="000000"/>
        </w:rPr>
        <w:t xml:space="preserve"> </w:t>
      </w:r>
    </w:p>
    <w:p w:rsidR="00613345" w:rsidRDefault="00613345" w:rsidP="001048DA">
      <w:pPr>
        <w:rPr>
          <w:color w:val="000000"/>
        </w:rPr>
      </w:pPr>
      <w:r w:rsidRPr="00613345">
        <w:rPr>
          <w:color w:val="000000"/>
        </w:rPr>
        <w:t xml:space="preserve">The online submission system will open in </w:t>
      </w:r>
      <w:proofErr w:type="gramStart"/>
      <w:r w:rsidRPr="00613345">
        <w:rPr>
          <w:color w:val="000000"/>
        </w:rPr>
        <w:t>February,</w:t>
      </w:r>
      <w:proofErr w:type="gramEnd"/>
      <w:r w:rsidRPr="00613345">
        <w:rPr>
          <w:color w:val="000000"/>
        </w:rPr>
        <w:t xml:space="preserve"> 2015. </w:t>
      </w:r>
    </w:p>
    <w:p w:rsidR="007321C2" w:rsidRDefault="007321C2" w:rsidP="004063D0">
      <w:pPr>
        <w:rPr>
          <w:color w:val="000000"/>
        </w:rPr>
      </w:pPr>
    </w:p>
    <w:p w:rsidR="00030399" w:rsidRPr="00DB126E" w:rsidRDefault="004063D0" w:rsidP="00613345">
      <w:pPr>
        <w:pStyle w:val="a8"/>
        <w:numPr>
          <w:ilvl w:val="0"/>
          <w:numId w:val="3"/>
        </w:numPr>
        <w:ind w:leftChars="0"/>
        <w:rPr>
          <w:b/>
          <w:color w:val="FF0000"/>
        </w:rPr>
      </w:pPr>
      <w:r w:rsidRPr="007321C2">
        <w:rPr>
          <w:color w:val="000000"/>
        </w:rPr>
        <w:t xml:space="preserve">The abstract must be written in English </w:t>
      </w:r>
      <w:r w:rsidR="00AA1E90" w:rsidRPr="00DB126E">
        <w:rPr>
          <w:b/>
          <w:color w:val="FF0000"/>
        </w:rPr>
        <w:t>between the two-page and three-page</w:t>
      </w:r>
      <w:r w:rsidR="00AA1E90" w:rsidRPr="007321C2">
        <w:rPr>
          <w:color w:val="000000"/>
        </w:rPr>
        <w:t xml:space="preserve"> </w:t>
      </w:r>
      <w:r w:rsidRPr="007321C2">
        <w:rPr>
          <w:color w:val="000000"/>
        </w:rPr>
        <w:t xml:space="preserve">on A4 size paper (21.0 x 29.7cm) with top/bottom margins of </w:t>
      </w:r>
      <w:r w:rsidR="007321C2" w:rsidRPr="007321C2">
        <w:rPr>
          <w:rFonts w:hint="eastAsia"/>
          <w:color w:val="000000"/>
        </w:rPr>
        <w:t>3.0</w:t>
      </w:r>
      <w:r w:rsidRPr="007321C2">
        <w:rPr>
          <w:color w:val="000000"/>
        </w:rPr>
        <w:t xml:space="preserve"> cm and left/right margins of 2.</w:t>
      </w:r>
      <w:r w:rsidR="007321C2" w:rsidRPr="007321C2">
        <w:rPr>
          <w:rFonts w:hint="eastAsia"/>
          <w:color w:val="000000"/>
        </w:rPr>
        <w:t>5</w:t>
      </w:r>
      <w:r w:rsidRPr="007321C2">
        <w:rPr>
          <w:color w:val="000000"/>
        </w:rPr>
        <w:t xml:space="preserve"> cm.</w:t>
      </w:r>
      <w:r w:rsidR="00613345" w:rsidRPr="00613345">
        <w:t xml:space="preserve"> </w:t>
      </w:r>
      <w:r w:rsidR="00613345" w:rsidRPr="00613345">
        <w:rPr>
          <w:color w:val="000000"/>
        </w:rPr>
        <w:t>Line spacing 1.0 to 1.5.</w:t>
      </w:r>
      <w:r w:rsidRPr="007321C2">
        <w:rPr>
          <w:rFonts w:hint="eastAsia"/>
          <w:color w:val="000000"/>
        </w:rPr>
        <w:t xml:space="preserve"> </w:t>
      </w:r>
    </w:p>
    <w:p w:rsidR="007321C2" w:rsidRPr="007321C2" w:rsidRDefault="007321C2" w:rsidP="007321C2">
      <w:pPr>
        <w:pStyle w:val="a8"/>
        <w:numPr>
          <w:ilvl w:val="0"/>
          <w:numId w:val="3"/>
        </w:numPr>
        <w:tabs>
          <w:tab w:val="left" w:pos="567"/>
        </w:tabs>
        <w:snapToGrid w:val="0"/>
        <w:ind w:leftChars="0"/>
      </w:pPr>
      <w:r w:rsidRPr="007321C2">
        <w:t xml:space="preserve">For the heading (title, name(s) of author(s) and address), follow the instructions above. Underneath the title, leave a blank line. </w:t>
      </w:r>
    </w:p>
    <w:p w:rsidR="007321C2" w:rsidRPr="007321C2" w:rsidRDefault="007321C2" w:rsidP="007321C2">
      <w:pPr>
        <w:pStyle w:val="a8"/>
        <w:numPr>
          <w:ilvl w:val="0"/>
          <w:numId w:val="3"/>
        </w:numPr>
        <w:tabs>
          <w:tab w:val="left" w:pos="567"/>
        </w:tabs>
        <w:snapToGrid w:val="0"/>
        <w:ind w:leftChars="0"/>
      </w:pPr>
      <w:r w:rsidRPr="007321C2">
        <w:t xml:space="preserve">The main text must be in Times New Roman </w:t>
      </w:r>
      <w:r w:rsidRPr="007321C2">
        <w:rPr>
          <w:b/>
        </w:rPr>
        <w:t xml:space="preserve">12pt </w:t>
      </w:r>
      <w:r w:rsidRPr="007321C2">
        <w:t xml:space="preserve">and in single spacing. Leave two blank lines between the heading and the main text. Indent and fully justify each new paragraph. </w:t>
      </w:r>
    </w:p>
    <w:p w:rsidR="007321C2" w:rsidRPr="007321C2" w:rsidRDefault="007321C2" w:rsidP="007321C2">
      <w:pPr>
        <w:pStyle w:val="a8"/>
        <w:numPr>
          <w:ilvl w:val="0"/>
          <w:numId w:val="3"/>
        </w:numPr>
        <w:tabs>
          <w:tab w:val="left" w:pos="567"/>
        </w:tabs>
        <w:snapToGrid w:val="0"/>
        <w:ind w:leftChars="0"/>
      </w:pPr>
      <w:r w:rsidRPr="007321C2">
        <w:t xml:space="preserve">Formulae, equations and figures should be an integral part of the abstract, with captions in Times New Roman 11pt, and not submitted separately. </w:t>
      </w:r>
    </w:p>
    <w:p w:rsidR="007321C2" w:rsidRPr="007321C2" w:rsidRDefault="007321C2" w:rsidP="007321C2">
      <w:pPr>
        <w:pStyle w:val="a8"/>
        <w:numPr>
          <w:ilvl w:val="0"/>
          <w:numId w:val="3"/>
        </w:numPr>
        <w:tabs>
          <w:tab w:val="left" w:pos="567"/>
        </w:tabs>
        <w:snapToGrid w:val="0"/>
        <w:ind w:leftChars="0"/>
      </w:pPr>
      <w:r w:rsidRPr="007321C2">
        <w:t>A short list of references can be added in Times New Roman 11pt.</w:t>
      </w:r>
    </w:p>
    <w:p w:rsidR="007321C2" w:rsidRPr="007321C2" w:rsidRDefault="007321C2" w:rsidP="00613345">
      <w:pPr>
        <w:tabs>
          <w:tab w:val="left" w:pos="567"/>
        </w:tabs>
        <w:snapToGrid w:val="0"/>
        <w:ind w:left="420"/>
      </w:pPr>
      <w:proofErr w:type="gramStart"/>
      <w:r w:rsidRPr="00613345">
        <w:rPr>
          <w:sz w:val="22"/>
        </w:rPr>
        <w:t>e</w:t>
      </w:r>
      <w:proofErr w:type="gramEnd"/>
      <w:r w:rsidRPr="00613345">
        <w:rPr>
          <w:sz w:val="22"/>
        </w:rPr>
        <w:t xml:space="preserve">.g. </w:t>
      </w:r>
      <w:r w:rsidR="00AA1E90">
        <w:rPr>
          <w:color w:val="000000"/>
        </w:rPr>
        <w:t xml:space="preserve">[1] Miyazawa, M., (1994), </w:t>
      </w:r>
      <w:proofErr w:type="spellStart"/>
      <w:r w:rsidR="00AA1E90" w:rsidRPr="00AA1E90">
        <w:rPr>
          <w:i/>
          <w:color w:val="000000"/>
        </w:rPr>
        <w:t>Phytochemistry</w:t>
      </w:r>
      <w:proofErr w:type="spellEnd"/>
      <w:r w:rsidR="00AA1E90">
        <w:rPr>
          <w:color w:val="000000"/>
        </w:rPr>
        <w:t xml:space="preserve">, </w:t>
      </w:r>
      <w:r w:rsidR="00AA1E90" w:rsidRPr="00AA1E90">
        <w:rPr>
          <w:b/>
          <w:color w:val="000000"/>
        </w:rPr>
        <w:t>35</w:t>
      </w:r>
      <w:r w:rsidR="00AA1E90">
        <w:rPr>
          <w:color w:val="000000"/>
        </w:rPr>
        <w:t>, 191-193.</w:t>
      </w:r>
    </w:p>
    <w:p w:rsidR="007321C2" w:rsidRPr="007321C2" w:rsidRDefault="007321C2" w:rsidP="007321C2">
      <w:pPr>
        <w:tabs>
          <w:tab w:val="left" w:pos="567"/>
        </w:tabs>
        <w:snapToGrid w:val="0"/>
        <w:ind w:firstLineChars="150" w:firstLine="360"/>
      </w:pPr>
    </w:p>
    <w:p w:rsidR="007321C2" w:rsidRPr="007321C2" w:rsidRDefault="007321C2" w:rsidP="007321C2">
      <w:pPr>
        <w:pStyle w:val="a8"/>
        <w:numPr>
          <w:ilvl w:val="0"/>
          <w:numId w:val="3"/>
        </w:numPr>
        <w:tabs>
          <w:tab w:val="left" w:pos="567"/>
        </w:tabs>
        <w:snapToGrid w:val="0"/>
        <w:ind w:leftChars="0"/>
      </w:pPr>
      <w:r w:rsidRPr="007321C2">
        <w:t>For submission, please convert your abstract from a Word file to an Adobe Acrobat PDF while embedding all the fonts used in it (including those in figures, tables, and pictures) to avoid garbled printout. Please select</w:t>
      </w:r>
      <w:r w:rsidRPr="007321C2">
        <w:rPr>
          <w:b/>
        </w:rPr>
        <w:t xml:space="preserve"> “High Quality”</w:t>
      </w:r>
      <w:r w:rsidRPr="007321C2">
        <w:t xml:space="preserve"> when you create the PDF file. After that, please check your abstract carefully (for layout problems, missing figures and garbled characters, etc.) No security settings are allowed. </w:t>
      </w:r>
    </w:p>
    <w:p w:rsidR="007321C2" w:rsidRPr="007321C2" w:rsidRDefault="007321C2" w:rsidP="007321C2">
      <w:pPr>
        <w:tabs>
          <w:tab w:val="left" w:pos="567"/>
        </w:tabs>
        <w:snapToGrid w:val="0"/>
        <w:ind w:firstLineChars="150" w:firstLine="360"/>
      </w:pPr>
    </w:p>
    <w:p w:rsidR="007321C2" w:rsidRPr="007321C2" w:rsidRDefault="007321C2" w:rsidP="007321C2">
      <w:pPr>
        <w:tabs>
          <w:tab w:val="left" w:pos="567"/>
        </w:tabs>
        <w:snapToGrid w:val="0"/>
        <w:ind w:firstLineChars="150" w:firstLine="360"/>
      </w:pPr>
      <w:proofErr w:type="gramStart"/>
      <w:r w:rsidRPr="007321C2">
        <w:t>If you have any questions or problems please contact the</w:t>
      </w:r>
      <w:r>
        <w:rPr>
          <w:rFonts w:hint="eastAsia"/>
        </w:rPr>
        <w:t xml:space="preserve"> TEAC2015</w:t>
      </w:r>
      <w:r w:rsidRPr="007321C2">
        <w:t>desk.</w:t>
      </w:r>
      <w:proofErr w:type="gramEnd"/>
      <w:r w:rsidRPr="007321C2">
        <w:t xml:space="preserve"> </w:t>
      </w:r>
    </w:p>
    <w:p w:rsidR="007321C2" w:rsidRPr="007321C2" w:rsidRDefault="007321C2" w:rsidP="007321C2">
      <w:pPr>
        <w:tabs>
          <w:tab w:val="left" w:pos="567"/>
        </w:tabs>
        <w:snapToGrid w:val="0"/>
        <w:ind w:firstLineChars="150" w:firstLine="360"/>
      </w:pPr>
      <w:r>
        <w:rPr>
          <w:rFonts w:hint="eastAsia"/>
        </w:rPr>
        <w:t>teac@apch.kindai.ac.jp</w:t>
      </w:r>
    </w:p>
    <w:p w:rsidR="00030399" w:rsidRPr="004063D0" w:rsidRDefault="00030399">
      <w:pPr>
        <w:rPr>
          <w:color w:val="000000"/>
        </w:rPr>
      </w:pPr>
    </w:p>
    <w:p w:rsidR="00030399" w:rsidRPr="004063D0" w:rsidRDefault="00030399">
      <w:pPr>
        <w:rPr>
          <w:color w:val="000000"/>
        </w:rPr>
      </w:pPr>
    </w:p>
    <w:p w:rsidR="00030399" w:rsidRDefault="00030399">
      <w:pPr>
        <w:rPr>
          <w:rFonts w:ascii="ＭＳ ゴシック" w:eastAsia="ＭＳ ゴシック"/>
          <w:color w:val="0000FF"/>
        </w:rPr>
      </w:pPr>
    </w:p>
    <w:p w:rsidR="00AA1E90" w:rsidRDefault="00AA1E90">
      <w:pPr>
        <w:rPr>
          <w:color w:val="000000"/>
        </w:rPr>
      </w:pPr>
      <w:r w:rsidRPr="00AA1E90">
        <w:rPr>
          <w:color w:val="000000"/>
        </w:rPr>
        <w:t>Start here, Page2 (Page limit: 2 or 3 pages)</w:t>
      </w: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Default="00AA1E90">
      <w:pPr>
        <w:rPr>
          <w:color w:val="000000"/>
        </w:rPr>
      </w:pPr>
    </w:p>
    <w:p w:rsidR="00AA1E90" w:rsidRPr="00AA1E90" w:rsidRDefault="00AA1E90">
      <w:pPr>
        <w:rPr>
          <w:b/>
          <w:color w:val="000000"/>
        </w:rPr>
      </w:pPr>
      <w:r w:rsidRPr="00AA1E90">
        <w:rPr>
          <w:b/>
          <w:color w:val="000000"/>
        </w:rPr>
        <w:t>References</w:t>
      </w:r>
    </w:p>
    <w:p w:rsidR="00AA1E90" w:rsidRDefault="00AA1E90">
      <w:pPr>
        <w:rPr>
          <w:color w:val="000000"/>
        </w:rPr>
      </w:pPr>
      <w:r>
        <w:rPr>
          <w:color w:val="000000"/>
        </w:rPr>
        <w:t xml:space="preserve">[1] </w:t>
      </w:r>
      <w:proofErr w:type="gramStart"/>
      <w:r>
        <w:rPr>
          <w:color w:val="000000"/>
        </w:rPr>
        <w:t xml:space="preserve">Miyazawa, M., (1994), </w:t>
      </w:r>
      <w:proofErr w:type="spellStart"/>
      <w:r w:rsidRPr="00AA1E90">
        <w:rPr>
          <w:i/>
          <w:color w:val="000000"/>
        </w:rPr>
        <w:t>Phytochemistry</w:t>
      </w:r>
      <w:proofErr w:type="spellEnd"/>
      <w:r>
        <w:rPr>
          <w:color w:val="000000"/>
        </w:rPr>
        <w:t xml:space="preserve">, </w:t>
      </w:r>
      <w:r w:rsidRPr="00AA1E90">
        <w:rPr>
          <w:b/>
          <w:color w:val="000000"/>
        </w:rPr>
        <w:t>35</w:t>
      </w:r>
      <w:r>
        <w:rPr>
          <w:color w:val="000000"/>
        </w:rPr>
        <w:t>, 191-193.</w:t>
      </w:r>
      <w:proofErr w:type="gramEnd"/>
      <w:r>
        <w:rPr>
          <w:color w:val="000000"/>
        </w:rPr>
        <w:t xml:space="preserve"> </w:t>
      </w:r>
    </w:p>
    <w:p w:rsidR="00030399" w:rsidRPr="00AA1E90" w:rsidRDefault="00AA1E90">
      <w:pPr>
        <w:rPr>
          <w:color w:val="000000"/>
        </w:rPr>
      </w:pPr>
      <w:r>
        <w:rPr>
          <w:color w:val="000000"/>
        </w:rPr>
        <w:t xml:space="preserve">[2] </w:t>
      </w:r>
      <w:proofErr w:type="gramStart"/>
      <w:r>
        <w:rPr>
          <w:color w:val="000000"/>
        </w:rPr>
        <w:t xml:space="preserve">Miyazawa, M., (2009), </w:t>
      </w:r>
      <w:r>
        <w:rPr>
          <w:i/>
          <w:color w:val="000000"/>
        </w:rPr>
        <w:t>J. Agric. Food Chem.</w:t>
      </w:r>
      <w:r>
        <w:rPr>
          <w:color w:val="000000"/>
        </w:rPr>
        <w:t xml:space="preserve">, </w:t>
      </w:r>
      <w:r>
        <w:rPr>
          <w:b/>
          <w:color w:val="000000"/>
        </w:rPr>
        <w:t>57</w:t>
      </w:r>
      <w:r>
        <w:rPr>
          <w:color w:val="000000"/>
        </w:rPr>
        <w:t>, 7800-7804.</w:t>
      </w:r>
      <w:proofErr w:type="gramEnd"/>
    </w:p>
    <w:sectPr w:rsidR="00030399" w:rsidRPr="00AA1E90" w:rsidSect="00030399"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ABB" w:rsidRDefault="00AA0ABB" w:rsidP="00030399">
      <w:r>
        <w:separator/>
      </w:r>
    </w:p>
  </w:endnote>
  <w:endnote w:type="continuationSeparator" w:id="0">
    <w:p w:rsidR="00AA0ABB" w:rsidRDefault="00AA0ABB" w:rsidP="0003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ABB" w:rsidRDefault="00AA0ABB" w:rsidP="00030399">
      <w:r>
        <w:separator/>
      </w:r>
    </w:p>
  </w:footnote>
  <w:footnote w:type="continuationSeparator" w:id="0">
    <w:p w:rsidR="00AA0ABB" w:rsidRDefault="00AA0ABB" w:rsidP="0003039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DBD"/>
    <w:multiLevelType w:val="hybridMultilevel"/>
    <w:tmpl w:val="30186004"/>
    <w:lvl w:ilvl="0" w:tplc="CAA22B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6C2F58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05E63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BB65C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F06BC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FA0C38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E4674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08296A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E04B5F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>
    <w:nsid w:val="283A05C6"/>
    <w:multiLevelType w:val="hybridMultilevel"/>
    <w:tmpl w:val="8AFEBC42"/>
    <w:lvl w:ilvl="0" w:tplc="AD7CE09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D3AAB3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0FC9F2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3D873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A3AAB6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45833A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35242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A0017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E80DE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68B9400C"/>
    <w:multiLevelType w:val="hybridMultilevel"/>
    <w:tmpl w:val="283E4F62"/>
    <w:lvl w:ilvl="0" w:tplc="DCD0ACDE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701"/>
  <w:doNotTrackMoves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A187C"/>
    <w:rsid w:val="00030399"/>
    <w:rsid w:val="000D167C"/>
    <w:rsid w:val="001048DA"/>
    <w:rsid w:val="001D755F"/>
    <w:rsid w:val="002E7BDE"/>
    <w:rsid w:val="004063D0"/>
    <w:rsid w:val="00475063"/>
    <w:rsid w:val="004A187C"/>
    <w:rsid w:val="00613345"/>
    <w:rsid w:val="0070064E"/>
    <w:rsid w:val="00724B36"/>
    <w:rsid w:val="007321C2"/>
    <w:rsid w:val="00761461"/>
    <w:rsid w:val="00960420"/>
    <w:rsid w:val="00AA0ABB"/>
    <w:rsid w:val="00AA1E90"/>
    <w:rsid w:val="00BA6A6A"/>
    <w:rsid w:val="00D17839"/>
    <w:rsid w:val="00DB126E"/>
    <w:rsid w:val="00F10BD9"/>
    <w:rsid w:val="00F419D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5F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rsid w:val="001D755F"/>
    <w:pPr>
      <w:ind w:left="2640" w:hanging="2640"/>
    </w:pPr>
    <w:rPr>
      <w:rFonts w:ascii="ＭＳ 明朝" w:hAnsi="ＭＳ 明朝"/>
    </w:rPr>
  </w:style>
  <w:style w:type="paragraph" w:styleId="2">
    <w:name w:val="Body Text 2"/>
    <w:basedOn w:val="a"/>
    <w:rsid w:val="001D755F"/>
    <w:pPr>
      <w:widowControl/>
      <w:jc w:val="lowKashida"/>
    </w:pPr>
    <w:rPr>
      <w:rFonts w:eastAsia="Batang"/>
      <w:kern w:val="0"/>
    </w:rPr>
  </w:style>
  <w:style w:type="paragraph" w:styleId="a4">
    <w:name w:val="header"/>
    <w:basedOn w:val="a"/>
    <w:link w:val="a5"/>
    <w:uiPriority w:val="99"/>
    <w:unhideWhenUsed/>
    <w:rsid w:val="004B2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2EE4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B2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2EE4"/>
    <w:rPr>
      <w:rFonts w:ascii="Times New Roman" w:hAnsi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7321C2"/>
    <w:pPr>
      <w:ind w:leftChars="400" w:left="840"/>
    </w:pPr>
  </w:style>
  <w:style w:type="character" w:styleId="a9">
    <w:name w:val="Hyperlink"/>
    <w:basedOn w:val="a0"/>
    <w:uiPriority w:val="99"/>
    <w:unhideWhenUsed/>
    <w:rsid w:val="0061334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7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78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2014</Characters>
  <Application>Microsoft Macintosh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第49回香料・テルペンおよび精油化学に関する討論会</vt:lpstr>
      <vt:lpstr>第49回香料・テルペンおよび精油化学に関する討論会</vt:lpstr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第49回香料・テルペンおよび精油化学に関する討論会</dc:title>
  <dc:creator>Ｔａｋｅｓｈｉ　Ｍｉｕｃｈｉ</dc:creator>
  <cp:lastModifiedBy>宮澤 三雄</cp:lastModifiedBy>
  <cp:revision>5</cp:revision>
  <cp:lastPrinted>2015-06-09T08:37:00Z</cp:lastPrinted>
  <dcterms:created xsi:type="dcterms:W3CDTF">2015-06-09T08:31:00Z</dcterms:created>
  <dcterms:modified xsi:type="dcterms:W3CDTF">2015-06-09T09:25:00Z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1228290794</vt:i4>
  </property>
  <property fmtid="{D5CDD505-2E9C-101B-9397-08002B2CF9AE}" pid="3" name="_EmailSubject">
    <vt:lpwstr/>
  </property>
  <property fmtid="{D5CDD505-2E9C-101B-9397-08002B2CF9AE}" pid="4" name="_AuthorEmail">
    <vt:lpwstr>hatanaka@acbio2.acbio.fukui-u.ac.jp</vt:lpwstr>
  </property>
  <property fmtid="{D5CDD505-2E9C-101B-9397-08002B2CF9AE}" pid="5" name="_AuthorEmailDisplayName">
    <vt:lpwstr>hatanaka</vt:lpwstr>
  </property>
  <property fmtid="{D5CDD505-2E9C-101B-9397-08002B2CF9AE}" pid="6" name="_ReviewingToolsShownOnce">
    <vt:lpwstr/>
  </property>
</Properties>
</file>